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72"/>
          <w:vertAlign w:val="baseline"/>
          <w:rtl w:val="0"/>
        </w:rPr>
        <w:t xml:space="preserve">Публичный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72"/>
          <w:vertAlign w:val="baseline"/>
          <w:rtl w:val="0"/>
        </w:rPr>
        <w:t xml:space="preserve">отчетный доклад муниципального бюджетного общеобразовательного учреждения средней общеобразовательной школы №3 города Бородино по итогам 2012-2013 учебного года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Структура доклада: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1.Общая характеристика учреждения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Обеспечение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освоения базового уровня образования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в  соответствии с государственными стандартами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3.Организация работы с интеллектуально одаренными детьми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4.Воспитательная работа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5.Материально-техническое и кадровое обеспечение образовательного процесса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6.Создание условий для безопасной жизнедеятельности школьников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7.Финансово-хозяйственная деятельность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8.Перспективы и планы развития.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Публичный доклад содержит информацию об основных результатах и проблемах образовательного учреждения.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Содержание доклада мы адресуем, прежде всего, родителям, выбирающим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образовательных услуг.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города.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нашим образовательным учреждением.</w:t>
        <w:br w:type="textWrapping"/>
        <w:t xml:space="preserve">Публичный доклад подготовлен авторским коллективом в составе директора МБОУ СОШ №3  Зевакиной О.Я., заместителей директора: Ефимкиной А.И., Хлоповой О.Г., Даций Е.В., Первухиной Л.М., методиста Михалевой Г.Н., руководителя ФСК Мешкова А.А., социального педагога Дюгановой С.Г., психолога Лухтановой Е.В.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28"/>
          <w:vertAlign w:val="baseline"/>
          <w:rtl w:val="0"/>
        </w:rPr>
        <w:t xml:space="preserve">1.Общая характеристика учреждения</w:t>
      </w:r>
      <w:r w:rsidRPr="00000000" w:rsidR="00000000" w:rsidDel="00000000">
        <w:rPr>
          <w:rFonts w:cs="Times New Roman" w:hAnsi="Times New Roman" w:eastAsia="Times New Roman" w:ascii="Times New Roman"/>
          <w:color w:val="17365d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· Юридический и фактический адрес школы: 663980, Красноярский край, </w:t>
        <w:br w:type="textWrapping"/>
        <w:t xml:space="preserve">г. Бородино, м-н Стахановский, зд.3, тел. 83916846310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28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 . Тип образовательного учреждения: общеобразовательная школа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 Устав общеобразовательного учреждения зарегистрирован 17.10.2011г.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43a0"/>
          <w:sz w:val="22"/>
          <w:vertAlign w:val="baseline"/>
          <w:rtl w:val="0"/>
        </w:rPr>
        <w:t xml:space="preserve">· 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Лицензия: серия РО№ 035332 от 23.12.2011г.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 Свидетельство о государственной аккредитации: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Серия АА номер 000241 от 09.06.2012г.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. Свидетельство о государственной регистрации:№24000289345 от 13.10.2002г.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 ИНН 2445001605 от 19.03.2003г.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 Учредитель: Администрация города Бородино, Красноярского края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 Юридический адрес учредителя: Красноярский край, город Бородино, ул. Горького, д. 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  Организационно-правовая форма: муниципальное бюджетное образовательное учреждение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 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Цель создания образовательного учреждения: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Учреждение создано с целью реализации права граждан города Бородино на получение образования в соответствии с основными общеобразовательными программами начального общего, основного общего и среднего (полного) общего образования, в том числе, программами специальных (коррекционных) образовательных учреждений YIII вида для обучающихся, воспитанников с ограниченными возможностями здоровья, художественно эстетической, физкультурно-спортивной направленности, профильного обучения и других форм образования.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Цель образовательной деятельности школы: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Развитие нравственной, гармоничной, физически здоровой личности, способной к самореализации, саморазвитию и самосовершенствованию.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Приоритетные направления развития: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155"/>
        </w:tabs>
        <w:spacing w:lineRule="auto" w:after="0" w:line="240" w:before="0"/>
        <w:ind w:firstLine="0" w:right="1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 Обеспечение государственных гарантий доступности качественного образования;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155"/>
        </w:tabs>
        <w:spacing w:lineRule="auto" w:after="0" w:line="240" w:before="0"/>
        <w:ind w:firstLine="0" w:right="1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 Развитие системы обеспечения качества образовательных услуг;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155"/>
        </w:tabs>
        <w:spacing w:lineRule="auto" w:after="0" w:line="240" w:before="0"/>
        <w:ind w:firstLine="0" w:right="1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.Совершенствование работы в направлении гражданско-правового образования,   формирование гражданско-правовой компетентности участников образовательного процесса;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155"/>
        </w:tabs>
        <w:spacing w:lineRule="auto" w:after="0" w:line="240" w:before="0"/>
        <w:ind w:firstLine="0" w:right="1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Отработка модели профильного обучения на старшей ступени;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155"/>
        </w:tabs>
        <w:spacing w:lineRule="auto" w:after="0" w:line="240" w:before="0"/>
        <w:ind w:firstLine="0" w:right="1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· Совершенствование системы работы школы, направленной на сохранение и укрепления здоровья учащихся и привития навыков здорового образа жизни.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left="720" w:right="180" w:hanging="359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0" w:line="240" w:before="0"/>
        <w:ind w:left="720" w:right="180" w:hanging="35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Особенности района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Школа осуществляет образовательную деятельность в условиях моногорода с численностью населения около 20 тысяч. Город имеет одно градообразующее предприятие - Филиал СУЭК ООО «Разрез Бородинский», поэтому основной состав жителей – рабочие и служащие предприятия, небольшую часть составляют представители городской инфраструктуры и малого бизнеса. В микрорайоне школы два детских дошкольных учреждения, выпускники которых приходят в МБОУСОШ №3.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</w:t>
      </w:r>
      <w:r w:rsidRPr="00000000" w:rsidR="00000000" w:rsidDel="00000000">
        <w:drawing>
          <wp:inline>
            <wp:extent cy="13970" cx="14605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3970" cx="1460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Вашему вниманию предлагается анализ основных направлений работы нашего педагогического коллектива за период 2012-2013 учебного года.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Работа педагогического коллектива в 2012-2013 учебном году строилась на реализации: стратегических направлений Российского и краевого образования, понимании нами принципов, на которых строится современное образование; основных задач педагогического коллектива и миссии школы.</w:t>
      </w:r>
      <w:r w:rsidRPr="00000000" w:rsidR="00000000" w:rsidDel="00000000">
        <w:rPr>
          <w:rFonts w:cs="Calibri" w:hAnsi="Calibri" w:eastAsia="Calibri" w:ascii="Calibri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Сегодня МБОУ СОШ № 3 – это: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с профильными классами;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с классами кадетского образования;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с широкой системой дополнительного образования;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школа, в которой утвердилась комфортная атмосфера сотрудничества учеников, учителей, родителей;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– творческая площадка гражданско-правового образования;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школа, которая широко применяет современные технологии;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школа, которая в 2008г. стала победителем в  краевом конкурсе образовательных учреждений, внедряющих инновационные образовательные программы, в рамках Приоритетного национального проекта "Образование";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школа, которая является победителем КЦП «Дети» «Мой спортивный двор»;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школа-победитель краевого конкурса проектов, направленных на улучшение учебных результатов школьников по предметам естественнонаучного цикла;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школа-победитель краевого конкурса физкультурно-спортивных клубов;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– обладатель Дипломов Iстепени в 2012,2013 гг. Национальной премии «Элита Российского образования»;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школа-открытая площадка по проведению Международной олимпиады по основам наук;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- победитель Школьной спортивной лиги-2013;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720" w:hanging="359"/>
        <w:rPr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школа - призер Всероссийской акции «Я-гражданин России».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(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2"/>
            <w:u w:val="single"/>
            <w:vertAlign w:val="baseline"/>
            <w:rtl w:val="0"/>
          </w:rPr>
          <w:t xml:space="preserve">Приложение №1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28"/>
          <w:vertAlign w:val="baseline"/>
          <w:rtl w:val="0"/>
        </w:rPr>
        <w:t xml:space="preserve">2. Обеспечение 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28"/>
          <w:vertAlign w:val="baseline"/>
          <w:rtl w:val="0"/>
        </w:rPr>
        <w:t xml:space="preserve">освоения базового уровня образования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28"/>
          <w:vertAlign w:val="baseline"/>
          <w:rtl w:val="0"/>
        </w:rPr>
        <w:t xml:space="preserve"> в  соответствии с государственными стандартами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 2012-2013 уч. году в начальной школе работало 14 классов-комплектов.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Учителями  реализовывались программы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по следующим дидактическим системам: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развивающего обучения  (система Л.В. Занкова);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«Планета знаний»: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традиционного обучения «Школа России»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1-2 классах в связи с переходом на Федеральный государственный образовательный стандарт второго поколения образовательная деятельность реализовывалась на основе базисного образовательного плана 2009г.Образовательная деятельность в 3-4 классах реализовывалась учебным планом, разработанным на основе базисного учебного плана  2004г. В 4 классах изучался  курс «Основы религиозных культур и светской этики», в рамках которого согласно  выбору родителей и обучающихся были представлены следующие модули: «Основы светской этики», «Основы православной религиозной культуры, «Основы мировых религиозных культур».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Учебный план  реализован, учебные программы по всем предметам пройдены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, государственные образовательные стандарты  соблюдены.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vertAlign w:val="baseline"/>
          <w:rtl w:val="0"/>
        </w:rPr>
        <w:t xml:space="preserve">В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vertAlign w:val="baseline"/>
          <w:rtl w:val="0"/>
        </w:rPr>
        <w:t xml:space="preserve">4-ых классах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традиционно проводились краевые мониторинговые исследования «Качество учебных достижений выпускников начальной школы».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В сравнении со средним рейтингом по муниципалитету и по краю школьный рейтинг в этом году вновь ниже только по ОУУ. По русскому языку  и по математике  результаты значительно улучшились.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Итоговая аттестация в новой форме выпускниками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9-х классов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пройдена более успешно по сравнению с прошлым учебным годом. Особенно улучшились результаты по обязательным предметам: русскому языку (доля справившихся выросла с 96% до 100%, успешность – с 66% до 70%) и математике (доля справившихся выросла с 89% до 94%, успешность – с 37,5% до 81%). Девять выпускников 9 класса окончили основную школу на «отлично».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В 2012-2013 уч.году все экзамены за курс средней школы проходили в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форме ЕГЭ.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Всем выпускникам в обязательном порядке необходимо было сдать лишь русский язык и математику. В случае преодоления ими минимальной границы баллов они могли получить аттестат. Результаты ЕГЭ с 2009 г. не переводятся в отметку и на результаты итоговой оценки по предмету не влияют. Остальные 10 предметов (обязательные предметы школьной программы) также сдавались в форме ЕГЭ, но лишь в том случае, если выпускник их выбрал для поступления в вуз.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Выпускники, выбравшие ЕГЭ по предметам в основном смогли преодолеть минимальную границу баллов, т.е. справились с работой. Здесь есть большая заслуга учителей, подготовивших выпускников к сдаче ЕГЭ по выбору. Самое лучшее качество выполнения ЕГЭ пятый год ребята показывают по химии. В этом году две выпускницы Симакова Диана и Белянинова Татьяна выполнили работу по химии на 100 баллов, а Баженова Виктория набрала 100 баллов по физике.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4 выпускника окончили среднюю школу с медалями «За особые успехи в учении». Золотыми медалистами стали: Басенко Василий, Иванчина Анастасия, Баженова Виктория. Серебряную медаль получила Фомина Анна.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(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vertAlign w:val="baseline"/>
            <w:rtl w:val="0"/>
          </w:rPr>
          <w:t xml:space="preserve">Приложение №2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 Наблюдение за показателями успешности обучения позволяет сделать вывод о стабильности качества обученности за последние три года. Это результаты систематической кропотливой работы коллектива учителей, школьников, родителей, а также эффективности методической работы, психолого-педагогического сопровождения, работы социального педагога, административной команды.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32"/>
          <w:vertAlign w:val="baseline"/>
          <w:rtl w:val="0"/>
        </w:rPr>
        <w:t xml:space="preserve">3.Организация работы с интеллектуально одаренными детьми</w:t>
      </w:r>
      <w:r w:rsidRPr="00000000" w:rsidR="00000000" w:rsidDel="00000000">
        <w:rPr>
          <w:rFonts w:cs="Times New Roman" w:hAnsi="Times New Roman" w:eastAsia="Times New Roman" w:ascii="Times New Roman"/>
          <w:color w:val="17365d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Школа реализует приоритетные направления работы с интеллектуально одарёнными учащимися. Учителя  готовят детей для участия в мероприятиях различного уровня.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Шестой год ребята принимают активное участие  в Международной игре-конкурсе «Инфознайка», причем активность участия увеличивается. Второй год школьники участвовали в конкурсе «Спасатели» (ОБЖ) – школьный организатор Климова И.Г.. С 2008 года учителя организуют школьников для  участия в Проекте «Эрудит-марафон учащихся», цель которого – разработать и внедрить в образовательный процесс эффективные педагогические технологии. В рамках Международных дистанционных конкурсов происходит исследование развития ключевых компетентностей младших школьников: информационной, коммуникационной, компетентности разрешения проблемы и логических ОУУН.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    «ЭМУ-СПЕЦИАЛИСТЫ»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(468 участников) Система конкурсов сопровождается мониторингом уровня сформированности ключевых компетентностей учащихся и предметных результатов образования.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По итогам  конкурсов школе предоставляется аналитическая информация.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2"/>
          <w:vertAlign w:val="baseline"/>
          <w:rtl w:val="0"/>
        </w:rPr>
        <w:t xml:space="preserve">   Учащиеся основной и старшей школы  приняли участие в школьном этапе всероссийской олимпиады школьников по всем изучаемым предметам федерального компонента БУПа. Активность обучающихся в целом была высокой, ребята с интересом выполняли задания как теоретические, так и практические. В целом по итогам Олимпиады победителей – 95, призёров – 226.Информация по результатам школьного этапа Олимпиады по всем предметам своевременно выставлялась на странице школьного сайта:     </w:t>
      </w:r>
      <w:hyperlink r:id="rId8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2"/>
            <w:u w:val="single"/>
            <w:vertAlign w:val="baseline"/>
            <w:rtl w:val="0"/>
          </w:rPr>
          <w:t xml:space="preserve">http://school3.mmc24415.cross-edu.ru/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000000"/>
          <w:sz w:val="22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Наши школьники  (183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человек-предмет) приняли участие в муниципальном этапе всероссийской олимпиады школьников по этим же предметам. Лучшие результаты школа имеет по 5 из 19 предметных олимпиад: физика, химия, география, русский язык, экология.  В целом, по количеству, результаты по Олимпиаде хуже по сравнению с прошлым годом, но несколько лучше по качеству. Учащиеся 9-11 классов (9 человек) прошли данное интеллектуальное состязание в г.Красноярске в январе и начале февраля. Дети достойно защитили честь школы и города. Лучший результат – это 7 место в олимпиаде по химии (Ромазанова Дарья, 9а).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В этом учебном году в школе запущена работа по индивидуальной программе сопровождения одарённого ребёнка.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Работа НОУ шла в соответствии с планом, что позволило достигнуть результатов исследований: все дети, работающие над исследованиями, представили свои результаты в феврале – на школьной конференции «Шаг в науку».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Лучшие работы стали участниками городской НПК «Открытие.Все призёры и победители городской конференции участвовали в дистанционном этапе краевого форума «Молодёжь и наука». Со своей работой Ефимкин И. и Озеров А. стали лауреатами очного этапа Краевого форума «Молодёжь и наука». Они участвовали в работе секции «Водные экосистемы».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Две работы по экологии приняли участие в Курчатовских Чтениях в г.Железногорске (в марте 2013 г.). Работа по исследованию качества очистки питьевой воды (Ефимкин И. и Озеров А., 7б) заняла 3 место. Ребята были награждены дипломом и ценными подарками. Озеров Антон принял активное участие в Круглом столе Курчатовских Чтений  и стал победителем форума, посвящённого проблемам энергетики. По результатам исследований участников Курчатовских Чтений опубликованы статьи в краевом сборнике.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Две работы по психологии Лухтановой Е. В. (по изучению социальной рекламы и произвольного поведения дошкольников) приняли участие в международной научно-практической конференции «Молодёжь Сибири – науке России». Шесть девятиклассников получили сертификаты участников и их работы опубликованы в сборнике материалов данной конференции.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18"/>
        </w:tabs>
        <w:spacing w:lineRule="auto" w:after="0" w:line="240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В декабре в городе прошёл конкурс «Новые Кулибины», в котором школа приняла активное участие во главе с учителем физики Осиповой Т.Н.. Были представлены детские технические изобретения в количестве 21 работы. В итоге завоёвано 11 призовых мест (I - 3, II - 5, III - 3).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В работе Краевого «Техносалона» приняли участие 7 работ учителя Осиповой Т.Н., в котором ученик 7а класса Юричев В. стал победителем.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В «Городском конкурсе творческих работ», проходившем в марте на базе СЮТ приняли участие 13 работ учителей Осиповой Т. Н., Мартьяновой Л.И., Медведевой Т.А.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Исследовательская работа Фоминой Анны (руководитель Максимова Т.В.) стала победителем краевого конкурса исследовательских работ о войне.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В октябре трое учеников школы (Татауров В., Скляренко В. и Максимович И.) получили почётное право участвовать в краевом форуме для одарённых школьников. Они участвовали в нём, где были отмечены ценными подарками и дипломами губернатора.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В рамках довузовской подготовки (на основании договора о сотрудничестве) двое учащихся 11-х классов принимали участие в работе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учебных модулей довузовской подготовки и олимпиадах ТГУ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в ноябре и январе (г. Железногорск и г. Томск).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Ученик 11б класса Максимович И. принял участие в олимпиаде для абитуриентов в СФУ «Абитуриент года», где стал призёром, получив ценные призы и право поступления в вуз.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Результаты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деятельности школы в направлении «Интеллектуально одарённые дети» в целом хорошие. Есть положительная динамика в направлении сотрудничества с вузами, организации работы НОУ, предоставлении школьникам возможностей участия в дистанционных олимпиадах и интенсивных краевых школах. Но при планировании дальнейшей работы с одарёнными школьниками необходимо организовать более продуктивную деятельность по подготовке учащихся к этапам Всероссийской олимпиады школьников.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(</w:t>
      </w:r>
      <w:hyperlink r:id="rId9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vertAlign w:val="baseline"/>
            <w:rtl w:val="0"/>
          </w:rPr>
          <w:t xml:space="preserve">Приложение №3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32"/>
          <w:vertAlign w:val="baseline"/>
          <w:rtl w:val="0"/>
        </w:rPr>
        <w:t xml:space="preserve">4.Воспитательная работа </w:t>
      </w:r>
      <w:r w:rsidRPr="00000000" w:rsidR="00000000" w:rsidDel="00000000">
        <w:rPr>
          <w:rFonts w:cs="Times New Roman" w:hAnsi="Times New Roman" w:eastAsia="Times New Roman" w:ascii="Times New Roman"/>
          <w:color w:val="17365d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 В школе разработана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u w:val="single"/>
          <w:vertAlign w:val="baseline"/>
          <w:rtl w:val="0"/>
        </w:rPr>
        <w:t xml:space="preserve">система традиционных мероприятий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, возникают новые традиции, что, с одной стороны, способствует сплочённости детско-взрослого коллектива, а с другой, даёт возможность учащимся проявить свои способности в различных направлениях.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Все традиционные мероприятия проходят в рамках направлений воспитательной работы: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2"/>
          <w:vertAlign w:val="baseline"/>
          <w:rtl w:val="0"/>
        </w:rPr>
        <w:t xml:space="preserve">гражданско-правовое, социально-нравственное, общекультурное, интеллектуальное, спортивно-оздоровительное, ученическое самоуправление, семья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. Данные направления соответствуют трём основным направлениям развития личности: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2"/>
          <w:vertAlign w:val="baseline"/>
          <w:rtl w:val="0"/>
        </w:rPr>
        <w:t xml:space="preserve">социально - нравственному, общеинтеллектуальному и общекультурному.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В рамках спортивно – оздоровительного направления работа проходила в следующих формах: спортивные игры и соревнования, классные часы, Дни здоровья (на уровне школы  и класса, с выездом в оздоровительный лагерь «Шахтёр»), выпуски газет, бюллетеней,  беседы, лекции и т.д.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Активную деятельность вёл физкультурно-спортивный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2"/>
          <w:vertAlign w:val="baseline"/>
          <w:rtl w:val="0"/>
        </w:rPr>
        <w:t xml:space="preserve">клуб «Факел».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Хочется отметить и успешное участие  педагогов нашей школы в муниципальном Конкурсе на лучшую организацию профилактической работы по профилактике алкоголизма, наркомании и токсикомании.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Школа сотрудничает (согласно договору) с Домом пионеров и школьников, с городским Домом культуры «Угольщик». Мы проводим совместные мероприятия с Детской юношеской спортивной школой, Детской школой искусств.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Наши учащиеся активно посещают учреждения дополнительного образования города и школьные детские объединения, клубы и секции.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В школе действуют   детские объединения художественно-эстетической, гражданско-правовой и спортивной направленности.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40" w:before="28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(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vertAlign w:val="baseline"/>
            <w:rtl w:val="0"/>
          </w:rPr>
          <w:t xml:space="preserve">Приложение №4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32"/>
          <w:vertAlign w:val="baseline"/>
          <w:rtl w:val="0"/>
        </w:rPr>
        <w:t xml:space="preserve">5.Кадровое обеспечение и материально-техническое  обеспечение образовательного процесса</w:t>
      </w:r>
      <w:r w:rsidRPr="00000000" w:rsidR="00000000" w:rsidDel="00000000">
        <w:rPr>
          <w:rFonts w:cs="Times New Roman" w:hAnsi="Times New Roman" w:eastAsia="Times New Roman" w:ascii="Times New Roman"/>
          <w:color w:val="17365d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В школе работает стабильный высокопрофессиональный коллектив. Школа на 100% обеспечена кадрами, профессиональная квалификация педагогических работников, имеющих образование, соответствующее профилю преподаваемых дисциплин, - 100% на каждой ступени, 80% педагогов имеют высшее профессиональное образовани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е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Одним из основных направлений работы школы является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гражданско-правовое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направление. Основной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целью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работы является формирование у детей и подростков гражданского сознания, готовности к выполнению конституционных обязанностей.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Традиционно в рамках данного направления в начале марта месяца проведен День открытых дверей школы для жителей города.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Тема. «Открывая мир – открываешь себя». Цель: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организация взаимодействия участников образовательного процесса в рамках гражданско-правового образования. Присутствующие ознакомлены с направлениями работы школы, участвовали в дискуссии, мастер - классах, получали консультации. Получены положительные отзывы в Книге отзывов и предложений. Сделан анализ, учтены пожелания и предложения для проведения Дня открытых дверей в будущем году.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Свой опыт представили 21 педагог школы, что составляет 40 % от общего количества педагогов ОУ.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-283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   Второй год подряд школа принимает участие в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конкурсе Национальной премии в области образования «Элита Российского образования». 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Диплом I степени в номинации «Лучшее учреждение образования по духовно - нравственному, гражданскому и патриотическому воспитанию молодежи - 2013» получили за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Программу организации воспитательного процесса в классе казачьей направленности «КАЗАКИ».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-283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  Четыре проекта направлены на Всероссийский конкурс работ в области педагогики, воспитания и работы с детьми и молодёжью до 20 лет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«За нравственный подвиг учителя».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Два проекта отмечены дипломами второй и третьей степени.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-283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 Школьная библиотека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является структурным подразделением образовательного учреждения, участвующим в учебно-воспитательном процессе в целях обеспечения права учащихся на бесплатное пользование библиотечно-информационными ресурсами. </w:t>
        <w:br w:type="textWrapping"/>
        <w:t xml:space="preserve">Деятельность библиотеки осуществляется в соответствии с учебным и воспитательным планами школы, программами, проектами и планом работы библиотеки. В состав библиотеки входят: абонемент, читальный зал, книгохранилище,3 компьютера с выходом в Интернет, принтер.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-283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Учебные кабинеты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оснащены от 80 до100%,созданы условия для реализации стандартов второго поколения для учащихся начальной школы, для реализации программ профильного обучения, проектной и исследовательской деятельности.</w:t>
      </w:r>
      <w:r w:rsidRPr="00000000" w:rsidR="00000000" w:rsidDel="00000000">
        <w:rPr>
          <w:rFonts w:cs="Calibri" w:hAnsi="Calibri" w:eastAsia="Calibri" w:ascii="Calibri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Книжный и электронный фонд библиотеки соответствует современной образовательной программе. При комплектовании фондов учитывается разновозрастный состав пользователей библиотеки, информационные и образовательные потребности школьников, учителей и родителей.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 w:right="284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(</w:t>
      </w:r>
      <w:hyperlink r:id="rId11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2"/>
            <w:u w:val="single"/>
            <w:vertAlign w:val="baseline"/>
            <w:rtl w:val="0"/>
          </w:rPr>
          <w:t xml:space="preserve">Приложение №5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32"/>
          <w:vertAlign w:val="baseline"/>
          <w:rtl w:val="0"/>
        </w:rPr>
        <w:t xml:space="preserve">6.Создание условий для безопасной жизнедеятельности школьников</w:t>
      </w:r>
      <w:r w:rsidRPr="00000000" w:rsidR="00000000" w:rsidDel="00000000">
        <w:rPr>
          <w:rFonts w:cs="Times New Roman" w:hAnsi="Times New Roman" w:eastAsia="Times New Roman" w:ascii="Times New Roman"/>
          <w:color w:val="17365d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365f91"/>
          <w:sz w:val="22"/>
          <w:vertAlign w:val="baseline"/>
          <w:rtl w:val="0"/>
        </w:rPr>
        <w:t xml:space="preserve">      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Образовательное учреждение систематически ведёт оздоровительную деятельность, направленную на развитие культуры здоровья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Состояние здоровья детей в значительной степени связано с их физической активностью. Поэтому в школе введена ежедневная утренняя зарядка и в дополнении к третьему часу физической культуры в школе действует 7 спортивных секций в рамках ФСК «Факел». В секциях занимается 55% учащихся школы. Для детей с ослабленным здоровьем организованы занятия в кабинете ЛФК.30% обучающихся посещают бассейн.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Уровень физической подготовленности детей стабилен.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 учреждении создан оптимальный морально-психологический климат, который позволяет на должном уровне строить отношения «учитель – ученик», «ученик – класс», «учитель – родители».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120"/>
        <w:ind w:firstLine="0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Сохранению и укреплению здоровья учащихся способствует применение педагогами здоровьесберегающих технологий в образовательном процессе.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 образовательном учреждении  функционирует столовая, где организовано горячее питание. Охват учащихся горячим питанием составляет 90%. Завтрак для 171 обучающихся льготной категории финансируется за счет средств краевой субвенции, остальные обучающиеся питаются за счет родительских средств.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 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Образовательное учреждение имеет ограждение по периметру и пять выходов на случай пожара или террора. Школа полностью обеспечена  первичными средствами пожаротушения и АПС, систему аварийного освещения. Организация пропускного режима в ОУ в дневное время осуществляется охранником, в ночное время – сторожами. Перемещение посторонних лиц по школе происходит в сопровождении дежурного учителя или администратора. Установлено видеонаблюдение:9камер внутреннего наблюдения,2 камеры наружного наблюдения.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 целях предупреждения травматизма и обучения правилам поведения  в чрезвычайных ситуациях в образовательном учреждении систематически проводятся беседы-инструктажи среди учащихся и учебно-тренировочные эвакуации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ff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(</w:t>
      </w:r>
      <w:hyperlink r:id="rId12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2"/>
            <w:u w:val="single"/>
            <w:vertAlign w:val="baseline"/>
            <w:rtl w:val="0"/>
          </w:rPr>
          <w:t xml:space="preserve">Приложение №6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32"/>
          <w:vertAlign w:val="baseline"/>
          <w:rtl w:val="0"/>
        </w:rPr>
        <w:t xml:space="preserve">7.Финансово-хозяйственная деятельность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90" w:line="240" w:before="45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365f91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(</w:t>
      </w:r>
      <w:hyperlink r:id="rId13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2"/>
            <w:u w:val="single"/>
            <w:vertAlign w:val="baseline"/>
            <w:rtl w:val="0"/>
          </w:rPr>
          <w:t xml:space="preserve">Приложение №7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32"/>
          <w:vertAlign w:val="baseline"/>
          <w:rtl w:val="0"/>
        </w:rPr>
        <w:t xml:space="preserve">8.Перспективы и планы развития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   В ходе подготовки к новому учебному году был проведен анализ учебно-воспитательной работы, материально-технической базы, кадрового обеспечения, финансово-хозяйственной деятельности, выявлены проблемы и  определены    приоритетные направления школы на 2013/2014 учебный год по переходу к новому качеству образования, поддерживающие национальную образовательную инициативу «НАША НОВАЯ ШКОЛА»: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-Переход на новые образовательные стандарты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- Развитие системы  поддержки талантливых детей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- Совершенствование учительского корпуса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-Изменение школьной инфраструктуры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 -Сохранение и укрепление  здоровья школьников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120"/>
        <w:ind w:firstLine="709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- Расширение самостоятельности школ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56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В числе приоритетных направлений деятельности – гражданско-правовое образование участников образовательного процесса.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Администрация школы выражает благодарность всем, кто неравнодушен к школьным делам.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2"/>
          <w:vertAlign w:val="baseline"/>
          <w:rtl w:val="0"/>
        </w:rPr>
        <w:t xml:space="preserve">Спасибо за ваши добрые дела, за ваше неравнодушие к нашим проблемам!</w:t>
      </w:r>
      <w:r w:rsidRPr="00000000" w:rsidR="00000000" w:rsidDel="00000000">
        <w:rPr>
          <w:rtl w:val="0"/>
        </w:rPr>
      </w:r>
    </w:p>
    <w:sectPr>
      <w:pgSz w:w="11906" w:h="16838"/>
      <w:pgMar w:left="1701" w:right="850" w:top="709" w:bottom="99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sz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sz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cs="Arial" w:hAnsi="Arial" w:eastAsia="Arial" w:ascii="Arial"/>
        <w:sz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sz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cs="Arial" w:hAnsi="Arial" w:eastAsia="Arial" w:ascii="Arial"/>
        <w:sz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cs="Arial" w:hAnsi="Arial" w:eastAsia="Arial" w:ascii="Arial"/>
        <w:sz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sz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school3.mmc24415.cross-edu.ru/files/pubdoklad/prilozheniyapb2013.docx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school3.mmc24415.cross-edu.ru/files/pubdoklad/prilozheniyapb2013.docx" Type="http://schemas.openxmlformats.org/officeDocument/2006/relationships/hyperlink" TargetMode="External" Id="rId13"/><Relationship Target="styles.xml" Type="http://schemas.openxmlformats.org/officeDocument/2006/relationships/styles" Id="rId4"/><Relationship Target="http://school3.mmc24415.cross-edu.ru/files/pubdoklad/prilozheniyapb2013.docx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school3.mmc24415.cross-edu.ru/files/pubdoklad/prilozheniyapb2013.docx" Type="http://schemas.openxmlformats.org/officeDocument/2006/relationships/hyperlink" TargetMode="External" Id="rId11"/><Relationship Target="http://school3.mmc24415.cross-edu.ru/files/pubdoklad/prilozheniyapb2013.docx" Type="http://schemas.openxmlformats.org/officeDocument/2006/relationships/hyperlink" TargetMode="External" Id="rId9"/><Relationship Target="http://school3.mmc24415.cross-edu.ru/files/pubdoklad/prilozheniyapb2013.docx" Type="http://schemas.openxmlformats.org/officeDocument/2006/relationships/hyperlink" TargetMode="External" Id="rId6"/><Relationship Target="media/image00.png" Type="http://schemas.openxmlformats.org/officeDocument/2006/relationships/image" Id="rId5"/><Relationship Target="http://school3.mmc24415.cross-edu.ru/" Type="http://schemas.openxmlformats.org/officeDocument/2006/relationships/hyperlink" TargetMode="External" Id="rId8"/><Relationship Target="http://school3.mmc24415.cross-edu.ru/files/pubdoklad/prilozheniyapb2013.docx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pubdoklad2013.docx</dc:title>
</cp:coreProperties>
</file>